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36" w:rsidRDefault="00853C36" w:rsidP="00853C3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853C36" w:rsidTr="00853C36">
        <w:trPr>
          <w:trHeight w:val="1610"/>
        </w:trPr>
        <w:tc>
          <w:tcPr>
            <w:tcW w:w="9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C36" w:rsidRDefault="00853C36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635</wp:posOffset>
                  </wp:positionV>
                  <wp:extent cx="1045845" cy="1045845"/>
                  <wp:effectExtent l="0" t="0" r="1905" b="0"/>
                  <wp:wrapNone/>
                  <wp:docPr id="7" name="Picture 7" descr="aei logo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ei logo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045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3C36" w:rsidRDefault="00853C36">
            <w:pPr>
              <w:spacing w:after="0" w:line="394" w:lineRule="atLeast"/>
              <w:jc w:val="center"/>
              <w:rPr>
                <w:rFonts w:ascii="Arial" w:hAnsi="Arial" w:cs="Arial"/>
                <w:color w:val="23496D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23496D"/>
                <w:sz w:val="30"/>
                <w:szCs w:val="30"/>
              </w:rPr>
              <w:t>                    Arab Educational Institute</w:t>
            </w:r>
          </w:p>
          <w:p w:rsidR="00853C36" w:rsidRDefault="00853C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23496D"/>
                <w:sz w:val="30"/>
                <w:szCs w:val="30"/>
              </w:rPr>
              <w:t>                    Newsletter - December 2021</w:t>
            </w:r>
          </w:p>
        </w:tc>
      </w:tr>
      <w:tr w:rsidR="00853C36" w:rsidTr="00853C36">
        <w:tc>
          <w:tcPr>
            <w:tcW w:w="9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C36" w:rsidRDefault="00853C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color w:val="23496D"/>
                <w:sz w:val="2"/>
                <w:szCs w:val="2"/>
              </w:rPr>
              <w:drawing>
                <wp:inline distT="0" distB="0" distL="0" distR="0">
                  <wp:extent cx="2933700" cy="1962150"/>
                  <wp:effectExtent l="0" t="0" r="0" b="0"/>
                  <wp:docPr id="6" name="Picture 6" descr="christ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rist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C36" w:rsidTr="00853C36">
        <w:tc>
          <w:tcPr>
            <w:tcW w:w="9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C36" w:rsidRDefault="00853C36">
            <w:pPr>
              <w:spacing w:after="0" w:line="394" w:lineRule="atLeast"/>
              <w:rPr>
                <w:rFonts w:ascii="Arial" w:hAnsi="Arial" w:cs="Arial"/>
                <w:color w:val="23496D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23496D"/>
                <w:sz w:val="24"/>
                <w:szCs w:val="24"/>
              </w:rPr>
              <w:t xml:space="preserve">Christmas and Palestinian </w:t>
            </w:r>
            <w:proofErr w:type="spellStart"/>
            <w:r>
              <w:rPr>
                <w:rFonts w:ascii="Arial" w:hAnsi="Arial" w:cs="Arial"/>
                <w:b/>
                <w:bCs/>
                <w:color w:val="23496D"/>
                <w:sz w:val="24"/>
                <w:szCs w:val="24"/>
              </w:rPr>
              <w:t>Sumud</w:t>
            </w:r>
            <w:proofErr w:type="spellEnd"/>
          </w:p>
          <w:p w:rsidR="00853C36" w:rsidRDefault="00853C36">
            <w:pPr>
              <w:spacing w:after="0" w:line="225" w:lineRule="atLeast"/>
              <w:rPr>
                <w:rFonts w:ascii="Arial" w:hAnsi="Arial" w:cs="Arial"/>
                <w:color w:val="23496D"/>
                <w:sz w:val="23"/>
                <w:szCs w:val="23"/>
              </w:rPr>
            </w:pPr>
            <w:r>
              <w:rPr>
                <w:rFonts w:ascii="Arial" w:hAnsi="Arial" w:cs="Arial"/>
                <w:color w:val="23496D"/>
                <w:sz w:val="18"/>
                <w:szCs w:val="18"/>
              </w:rPr>
              <w:t>The Christmas tree has been lightened at Nativity Square in Bethlehem, a symbol of hope. Yet in 2021 the ongoing coronavirus crisis and the occupation had a deep, negative impact on the Bethlehem and Palestinian communities. The economy including tourism has been greatly affected. Public life is characterized by a lack of law and order, a surge in domestic violence, and a general atmosphere of hopelessness. Apartheid is a key term used by international human rights organizations to characterize the situation not just in the West Bank and Gaza but also that of Palestinians in Israel.</w:t>
            </w:r>
          </w:p>
          <w:p w:rsidR="00853C36" w:rsidRDefault="00853C36">
            <w:pPr>
              <w:spacing w:after="0" w:line="225" w:lineRule="atLeast"/>
              <w:rPr>
                <w:rFonts w:ascii="Arial" w:hAnsi="Arial" w:cs="Arial"/>
                <w:color w:val="23496D"/>
                <w:sz w:val="23"/>
                <w:szCs w:val="23"/>
              </w:rPr>
            </w:pPr>
            <w:r>
              <w:rPr>
                <w:rFonts w:ascii="Arial" w:hAnsi="Arial" w:cs="Arial"/>
                <w:color w:val="23496D"/>
                <w:sz w:val="18"/>
                <w:szCs w:val="18"/>
              </w:rPr>
              <w:t> </w:t>
            </w:r>
          </w:p>
          <w:p w:rsidR="00853C36" w:rsidRDefault="00853C36">
            <w:pPr>
              <w:spacing w:after="0" w:line="225" w:lineRule="atLeast"/>
              <w:rPr>
                <w:rFonts w:ascii="Arial" w:hAnsi="Arial" w:cs="Arial"/>
                <w:color w:val="23496D"/>
                <w:sz w:val="23"/>
                <w:szCs w:val="23"/>
              </w:rPr>
            </w:pPr>
            <w:r>
              <w:rPr>
                <w:rFonts w:ascii="Arial" w:hAnsi="Arial" w:cs="Arial"/>
                <w:color w:val="23496D"/>
                <w:sz w:val="18"/>
                <w:szCs w:val="18"/>
              </w:rPr>
              <w:t xml:space="preserve">The Arab Educational Institute continues to work on </w:t>
            </w:r>
            <w:proofErr w:type="spellStart"/>
            <w:r>
              <w:rPr>
                <w:rFonts w:ascii="Arial" w:hAnsi="Arial" w:cs="Arial"/>
                <w:color w:val="23496D"/>
                <w:sz w:val="18"/>
                <w:szCs w:val="18"/>
              </w:rPr>
              <w:t>sumud</w:t>
            </w:r>
            <w:proofErr w:type="spellEnd"/>
            <w:r>
              <w:rPr>
                <w:rFonts w:ascii="Arial" w:hAnsi="Arial" w:cs="Arial"/>
                <w:color w:val="23496D"/>
                <w:sz w:val="18"/>
                <w:szCs w:val="18"/>
              </w:rPr>
              <w:t xml:space="preserve"> or steadfastness as a response to the challenges in daily life and Palestine. In one of the articles of this newsletter you can read more what the practice of </w:t>
            </w:r>
            <w:proofErr w:type="spellStart"/>
            <w:r>
              <w:rPr>
                <w:rFonts w:ascii="Arial" w:hAnsi="Arial" w:cs="Arial"/>
                <w:color w:val="23496D"/>
                <w:sz w:val="18"/>
                <w:szCs w:val="18"/>
              </w:rPr>
              <w:t>sumud</w:t>
            </w:r>
            <w:proofErr w:type="spellEnd"/>
            <w:r>
              <w:rPr>
                <w:rFonts w:ascii="Arial" w:hAnsi="Arial" w:cs="Arial"/>
                <w:color w:val="23496D"/>
                <w:sz w:val="18"/>
                <w:szCs w:val="18"/>
              </w:rPr>
              <w:t xml:space="preserve"> has involved over the course of AEI’s history. A major project is “Christian-Moslem Living Together” which continues at some 30 private and governmental schools in order to strengthen the cohesion of the community. </w:t>
            </w:r>
          </w:p>
          <w:p w:rsidR="00853C36" w:rsidRDefault="00252048">
            <w:pPr>
              <w:spacing w:after="0" w:line="394" w:lineRule="atLeast"/>
              <w:rPr>
                <w:rFonts w:ascii="Arial" w:hAnsi="Arial" w:cs="Arial"/>
                <w:color w:val="23496D"/>
                <w:sz w:val="23"/>
                <w:szCs w:val="23"/>
              </w:rPr>
            </w:pPr>
            <w:hyperlink r:id="rId9" w:tgtFrame="_blank" w:history="1">
              <w:r w:rsidR="00853C36">
                <w:rPr>
                  <w:rStyle w:val="Hyperlink"/>
                  <w:rFonts w:ascii="Arial" w:hAnsi="Arial" w:cs="Arial"/>
                  <w:i/>
                  <w:iCs/>
                  <w:color w:val="00A4BD"/>
                  <w:sz w:val="18"/>
                  <w:szCs w:val="18"/>
                </w:rPr>
                <w:t>Read more</w:t>
              </w:r>
            </w:hyperlink>
          </w:p>
          <w:p w:rsidR="00853C36" w:rsidRDefault="00853C36">
            <w:pPr>
              <w:spacing w:after="0" w:line="394" w:lineRule="atLeast"/>
              <w:rPr>
                <w:rFonts w:ascii="Arial" w:hAnsi="Arial" w:cs="Arial"/>
                <w:color w:val="23496D"/>
                <w:sz w:val="23"/>
                <w:szCs w:val="23"/>
              </w:rPr>
            </w:pPr>
            <w:r>
              <w:rPr>
                <w:rFonts w:ascii="Arial" w:hAnsi="Arial" w:cs="Arial"/>
                <w:color w:val="23496D"/>
                <w:sz w:val="18"/>
                <w:szCs w:val="18"/>
              </w:rPr>
              <w:t>Rania Murra</w:t>
            </w:r>
          </w:p>
          <w:p w:rsidR="00853C36" w:rsidRDefault="00853C36">
            <w:pPr>
              <w:spacing w:after="240" w:line="394" w:lineRule="atLeast"/>
              <w:rPr>
                <w:rFonts w:ascii="Arial" w:hAnsi="Arial" w:cs="Arial"/>
                <w:color w:val="23496D"/>
                <w:sz w:val="23"/>
                <w:szCs w:val="23"/>
              </w:rPr>
            </w:pPr>
            <w:r>
              <w:rPr>
                <w:rFonts w:ascii="Arial" w:hAnsi="Arial" w:cs="Arial"/>
                <w:color w:val="23496D"/>
                <w:sz w:val="18"/>
                <w:szCs w:val="18"/>
              </w:rPr>
              <w:t>Director AEI</w:t>
            </w:r>
            <w:r>
              <w:rPr>
                <w:rFonts w:ascii="Arial" w:hAnsi="Arial" w:cs="Arial"/>
                <w:color w:val="23496D"/>
                <w:sz w:val="23"/>
                <w:szCs w:val="23"/>
              </w:rPr>
              <w:t> </w:t>
            </w:r>
          </w:p>
        </w:tc>
      </w:tr>
      <w:tr w:rsidR="00853C36" w:rsidTr="00853C36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36" w:rsidRDefault="00853C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color w:val="23496D"/>
                <w:sz w:val="2"/>
                <w:szCs w:val="2"/>
              </w:rPr>
              <w:drawing>
                <wp:inline distT="0" distB="0" distL="0" distR="0">
                  <wp:extent cx="2466975" cy="1628775"/>
                  <wp:effectExtent l="0" t="0" r="9525" b="9525"/>
                  <wp:docPr id="5" name="Picture 5" descr="DSC06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06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C36" w:rsidRDefault="00853C36">
            <w:pPr>
              <w:spacing w:after="0" w:line="240" w:lineRule="auto"/>
              <w:jc w:val="center"/>
            </w:pP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36" w:rsidRDefault="00853C36">
            <w:pPr>
              <w:spacing w:after="0" w:line="394" w:lineRule="atLeast"/>
              <w:rPr>
                <w:rFonts w:ascii="Arial" w:hAnsi="Arial" w:cs="Arial"/>
                <w:b/>
                <w:bCs/>
                <w:color w:val="23496D"/>
                <w:sz w:val="24"/>
                <w:szCs w:val="24"/>
              </w:rPr>
            </w:pPr>
          </w:p>
          <w:p w:rsidR="00853C36" w:rsidRDefault="00853C36">
            <w:pPr>
              <w:spacing w:after="0" w:line="240" w:lineRule="auto"/>
              <w:rPr>
                <w:rFonts w:ascii="Arial" w:hAnsi="Arial" w:cs="Arial"/>
                <w:color w:val="23496D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23496D"/>
                <w:sz w:val="24"/>
                <w:szCs w:val="24"/>
              </w:rPr>
              <w:t>The shepherds’ joy of Christmas</w:t>
            </w:r>
          </w:p>
          <w:p w:rsidR="00853C36" w:rsidRDefault="00853C36">
            <w:pPr>
              <w:spacing w:after="0" w:line="240" w:lineRule="auto"/>
              <w:rPr>
                <w:rFonts w:ascii="Arial" w:hAnsi="Arial" w:cs="Arial"/>
                <w:color w:val="23496D"/>
                <w:sz w:val="18"/>
                <w:szCs w:val="18"/>
              </w:rPr>
            </w:pPr>
          </w:p>
          <w:p w:rsidR="00853C36" w:rsidRDefault="00853C36">
            <w:pPr>
              <w:spacing w:after="0" w:line="240" w:lineRule="auto"/>
              <w:rPr>
                <w:rFonts w:ascii="Arial" w:hAnsi="Arial" w:cs="Arial"/>
                <w:color w:val="23496D"/>
                <w:sz w:val="23"/>
                <w:szCs w:val="23"/>
              </w:rPr>
            </w:pPr>
            <w:r>
              <w:rPr>
                <w:rFonts w:ascii="Arial" w:hAnsi="Arial" w:cs="Arial"/>
                <w:color w:val="23496D"/>
                <w:sz w:val="18"/>
                <w:szCs w:val="18"/>
              </w:rPr>
              <w:t>Christmas wish AEI – member of Pax Christi International</w:t>
            </w:r>
          </w:p>
          <w:p w:rsidR="00853C36" w:rsidRDefault="00252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tgtFrame="_blank" w:history="1">
              <w:r w:rsidR="00853C36">
                <w:rPr>
                  <w:rStyle w:val="Hyperlink"/>
                  <w:rFonts w:ascii="Arial" w:hAnsi="Arial" w:cs="Arial"/>
                  <w:i/>
                  <w:iCs/>
                  <w:color w:val="00A4BD"/>
                  <w:sz w:val="18"/>
                  <w:szCs w:val="18"/>
                </w:rPr>
                <w:t>Read more</w:t>
              </w:r>
            </w:hyperlink>
          </w:p>
        </w:tc>
      </w:tr>
      <w:tr w:rsidR="00853C36" w:rsidTr="00853C36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36" w:rsidRDefault="00853C36">
            <w:pPr>
              <w:spacing w:after="0" w:line="240" w:lineRule="auto"/>
              <w:jc w:val="center"/>
            </w:pPr>
          </w:p>
          <w:p w:rsidR="00853C36" w:rsidRDefault="00853C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color w:val="23496D"/>
                <w:sz w:val="2"/>
                <w:szCs w:val="2"/>
              </w:rPr>
              <w:lastRenderedPageBreak/>
              <w:drawing>
                <wp:inline distT="0" distB="0" distL="0" distR="0">
                  <wp:extent cx="2486025" cy="1638300"/>
                  <wp:effectExtent l="0" t="0" r="9525" b="0"/>
                  <wp:docPr id="4" name="Picture 4" descr="IMG_2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C36" w:rsidRDefault="00853C36">
            <w:pPr>
              <w:spacing w:after="0" w:line="240" w:lineRule="auto"/>
              <w:jc w:val="center"/>
            </w:pPr>
          </w:p>
          <w:p w:rsidR="00853C36" w:rsidRDefault="00853C36">
            <w:pPr>
              <w:spacing w:after="0" w:line="240" w:lineRule="auto"/>
            </w:pP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36" w:rsidRDefault="00853C36">
            <w:pPr>
              <w:spacing w:after="0" w:line="526" w:lineRule="atLeast"/>
              <w:rPr>
                <w:rFonts w:ascii="Arial" w:hAnsi="Arial" w:cs="Arial"/>
                <w:color w:val="23496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496D"/>
                <w:sz w:val="24"/>
                <w:szCs w:val="24"/>
              </w:rPr>
              <w:lastRenderedPageBreak/>
              <w:t xml:space="preserve">Stories of </w:t>
            </w:r>
            <w:proofErr w:type="spellStart"/>
            <w:r>
              <w:rPr>
                <w:rFonts w:ascii="Arial" w:hAnsi="Arial" w:cs="Arial"/>
                <w:b/>
                <w:bCs/>
                <w:color w:val="23496D"/>
                <w:sz w:val="24"/>
                <w:szCs w:val="24"/>
              </w:rPr>
              <w:t>sumud</w:t>
            </w:r>
            <w:proofErr w:type="spellEnd"/>
            <w:r>
              <w:rPr>
                <w:rFonts w:ascii="Arial" w:hAnsi="Arial" w:cs="Arial"/>
                <w:b/>
                <w:bCs/>
                <w:color w:val="23496D"/>
                <w:sz w:val="24"/>
                <w:szCs w:val="24"/>
              </w:rPr>
              <w:t xml:space="preserve"> in AEI’s group and </w:t>
            </w:r>
            <w:r>
              <w:rPr>
                <w:rFonts w:ascii="Arial" w:hAnsi="Arial" w:cs="Arial"/>
                <w:b/>
                <w:bCs/>
                <w:color w:val="23496D"/>
                <w:sz w:val="24"/>
                <w:szCs w:val="24"/>
              </w:rPr>
              <w:lastRenderedPageBreak/>
              <w:t>advocacy work</w:t>
            </w:r>
          </w:p>
          <w:p w:rsidR="00853C36" w:rsidRDefault="00853C36">
            <w:pPr>
              <w:spacing w:after="0" w:line="240" w:lineRule="auto"/>
              <w:rPr>
                <w:rFonts w:ascii="Arial" w:hAnsi="Arial" w:cs="Arial"/>
                <w:color w:val="23496D"/>
                <w:sz w:val="18"/>
                <w:szCs w:val="18"/>
              </w:rPr>
            </w:pPr>
          </w:p>
          <w:p w:rsidR="00853C36" w:rsidRDefault="00853C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496D"/>
                <w:sz w:val="18"/>
                <w:szCs w:val="18"/>
              </w:rPr>
              <w:t xml:space="preserve">In a speech for the last public meeting of the Ecumenical Women’s Group </w:t>
            </w:r>
            <w:proofErr w:type="spellStart"/>
            <w:r>
              <w:rPr>
                <w:rFonts w:ascii="Arial" w:hAnsi="Arial" w:cs="Arial"/>
                <w:color w:val="23496D"/>
                <w:sz w:val="18"/>
                <w:szCs w:val="18"/>
              </w:rPr>
              <w:t>Twente</w:t>
            </w:r>
            <w:proofErr w:type="spellEnd"/>
            <w:r>
              <w:rPr>
                <w:rFonts w:ascii="Arial" w:hAnsi="Arial" w:cs="Arial"/>
                <w:color w:val="23496D"/>
                <w:sz w:val="18"/>
                <w:szCs w:val="18"/>
              </w:rPr>
              <w:t xml:space="preserve">-Bethlehem (9/12/2021, </w:t>
            </w:r>
            <w:proofErr w:type="spellStart"/>
            <w:r>
              <w:rPr>
                <w:rFonts w:ascii="Arial" w:hAnsi="Arial" w:cs="Arial"/>
                <w:color w:val="23496D"/>
                <w:sz w:val="18"/>
                <w:szCs w:val="18"/>
              </w:rPr>
              <w:t>Enschede</w:t>
            </w:r>
            <w:proofErr w:type="spellEnd"/>
            <w:r>
              <w:rPr>
                <w:rFonts w:ascii="Arial" w:hAnsi="Arial" w:cs="Arial"/>
                <w:color w:val="23496D"/>
                <w:sz w:val="18"/>
                <w:szCs w:val="18"/>
              </w:rPr>
              <w:t xml:space="preserve">), AEI staff Toine van Teeffelen gave a bird’s eye view of the history of the Arab Educational Institute using hope and </w:t>
            </w:r>
            <w:proofErr w:type="spellStart"/>
            <w:r>
              <w:rPr>
                <w:rFonts w:ascii="Arial" w:hAnsi="Arial" w:cs="Arial"/>
                <w:color w:val="23496D"/>
                <w:sz w:val="18"/>
                <w:szCs w:val="18"/>
              </w:rPr>
              <w:t>sumud</w:t>
            </w:r>
            <w:proofErr w:type="spellEnd"/>
            <w:r>
              <w:rPr>
                <w:rFonts w:ascii="Arial" w:hAnsi="Arial" w:cs="Arial"/>
                <w:color w:val="23496D"/>
                <w:sz w:val="18"/>
                <w:szCs w:val="18"/>
              </w:rPr>
              <w:t xml:space="preserve"> as guiding concepts.</w:t>
            </w:r>
            <w:r>
              <w:rPr>
                <w:rFonts w:ascii="Arial" w:hAnsi="Arial" w:cs="Arial"/>
                <w:color w:val="23496D"/>
                <w:sz w:val="18"/>
                <w:szCs w:val="18"/>
              </w:rPr>
              <w:br/>
            </w:r>
            <w:hyperlink r:id="rId15" w:tgtFrame="_blank" w:history="1">
              <w:r>
                <w:rPr>
                  <w:rStyle w:val="Hyperlink"/>
                  <w:rFonts w:ascii="Arial" w:hAnsi="Arial" w:cs="Arial"/>
                  <w:i/>
                  <w:iCs/>
                  <w:color w:val="00A4BD"/>
                  <w:sz w:val="18"/>
                  <w:szCs w:val="18"/>
                </w:rPr>
                <w:t>Read More</w:t>
              </w:r>
            </w:hyperlink>
          </w:p>
        </w:tc>
      </w:tr>
      <w:tr w:rsidR="00853C36" w:rsidTr="00853C36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C36" w:rsidRDefault="00853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color w:val="23496D"/>
                <w:sz w:val="2"/>
                <w:szCs w:val="2"/>
              </w:rPr>
              <w:lastRenderedPageBreak/>
              <w:drawing>
                <wp:inline distT="0" distB="0" distL="0" distR="0">
                  <wp:extent cx="2476500" cy="1647825"/>
                  <wp:effectExtent l="0" t="0" r="0" b="9525"/>
                  <wp:docPr id="3" name="Picture 3" descr="IMG_3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3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36" w:rsidRDefault="00853C36">
            <w:pPr>
              <w:spacing w:after="0" w:line="526" w:lineRule="atLeast"/>
              <w:rPr>
                <w:rFonts w:ascii="Arial" w:hAnsi="Arial" w:cs="Arial"/>
                <w:color w:val="23496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496D"/>
                <w:sz w:val="24"/>
                <w:szCs w:val="24"/>
              </w:rPr>
              <w:t>Citizenship and Diversity: Christian-Moslem Living Together</w:t>
            </w:r>
          </w:p>
          <w:p w:rsidR="00853C36" w:rsidRDefault="00853C36">
            <w:pPr>
              <w:spacing w:after="0" w:line="240" w:lineRule="auto"/>
              <w:rPr>
                <w:rFonts w:ascii="Arial" w:hAnsi="Arial" w:cs="Arial"/>
                <w:color w:val="23496D"/>
                <w:sz w:val="18"/>
                <w:szCs w:val="18"/>
              </w:rPr>
            </w:pPr>
          </w:p>
          <w:p w:rsidR="00853C36" w:rsidRDefault="00853C36">
            <w:pPr>
              <w:spacing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496D"/>
                <w:sz w:val="18"/>
                <w:szCs w:val="18"/>
              </w:rPr>
              <w:t>During the last school year in total 984 Palestinian Moslem and Christian students were trained in inter-religious education as part of AEI’s long standing program Citizenship and Diversity.</w:t>
            </w:r>
            <w:r>
              <w:rPr>
                <w:rFonts w:ascii="Arial" w:hAnsi="Arial" w:cs="Arial"/>
                <w:color w:val="23496D"/>
                <w:sz w:val="18"/>
                <w:szCs w:val="18"/>
              </w:rPr>
              <w:br/>
            </w:r>
            <w:hyperlink r:id="rId18" w:tgtFrame="_blank" w:history="1">
              <w:r>
                <w:rPr>
                  <w:rStyle w:val="Hyperlink"/>
                  <w:rFonts w:ascii="Arial" w:hAnsi="Arial" w:cs="Arial"/>
                  <w:i/>
                  <w:iCs/>
                  <w:color w:val="00A4BD"/>
                  <w:sz w:val="18"/>
                  <w:szCs w:val="18"/>
                </w:rPr>
                <w:t>Read More</w:t>
              </w:r>
            </w:hyperlink>
          </w:p>
        </w:tc>
      </w:tr>
      <w:tr w:rsidR="00853C36" w:rsidTr="00853C36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C36" w:rsidRDefault="00853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color w:val="23496D"/>
                <w:sz w:val="2"/>
                <w:szCs w:val="2"/>
              </w:rPr>
              <w:drawing>
                <wp:inline distT="0" distB="0" distL="0" distR="0">
                  <wp:extent cx="2476500" cy="1800225"/>
                  <wp:effectExtent l="0" t="0" r="0" b="9525"/>
                  <wp:docPr id="2" name="Picture 2" descr="imag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36" w:rsidRDefault="00853C36">
            <w:pPr>
              <w:spacing w:after="0" w:line="526" w:lineRule="atLeast"/>
              <w:rPr>
                <w:rFonts w:ascii="Arial" w:hAnsi="Arial" w:cs="Arial"/>
                <w:color w:val="23496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496D"/>
                <w:sz w:val="24"/>
                <w:szCs w:val="24"/>
              </w:rPr>
              <w:t>Youth and women workshops on trauma</w:t>
            </w:r>
          </w:p>
          <w:p w:rsidR="00853C36" w:rsidRDefault="00853C36">
            <w:pPr>
              <w:spacing w:after="0" w:line="240" w:lineRule="auto"/>
              <w:rPr>
                <w:rFonts w:ascii="Arial" w:hAnsi="Arial" w:cs="Arial"/>
                <w:color w:val="23496D"/>
                <w:sz w:val="18"/>
                <w:szCs w:val="18"/>
              </w:rPr>
            </w:pPr>
          </w:p>
          <w:p w:rsidR="00853C36" w:rsidRDefault="00853C36">
            <w:pPr>
              <w:spacing w:after="0" w:line="240" w:lineRule="auto"/>
              <w:rPr>
                <w:rFonts w:ascii="Arial" w:hAnsi="Arial" w:cs="Arial"/>
                <w:color w:val="23496D"/>
                <w:sz w:val="23"/>
                <w:szCs w:val="23"/>
              </w:rPr>
            </w:pPr>
            <w:r>
              <w:rPr>
                <w:rFonts w:ascii="Arial" w:hAnsi="Arial" w:cs="Arial"/>
                <w:color w:val="23496D"/>
                <w:sz w:val="18"/>
                <w:szCs w:val="18"/>
              </w:rPr>
              <w:t xml:space="preserve">AEI held this year 15 face to face sessions on dealing with trauma for two young women groups and one youth group at the </w:t>
            </w:r>
            <w:proofErr w:type="spellStart"/>
            <w:r>
              <w:rPr>
                <w:rFonts w:ascii="Arial" w:hAnsi="Arial" w:cs="Arial"/>
                <w:color w:val="23496D"/>
                <w:sz w:val="18"/>
                <w:szCs w:val="18"/>
              </w:rPr>
              <w:t>Sumud</w:t>
            </w:r>
            <w:proofErr w:type="spellEnd"/>
            <w:r>
              <w:rPr>
                <w:rFonts w:ascii="Arial" w:hAnsi="Arial" w:cs="Arial"/>
                <w:color w:val="23496D"/>
                <w:sz w:val="18"/>
                <w:szCs w:val="18"/>
              </w:rPr>
              <w:t xml:space="preserve"> Story House. Each session involved 10 – 15 persons and took two hours.</w:t>
            </w:r>
          </w:p>
          <w:p w:rsidR="00853C36" w:rsidRDefault="00252048">
            <w:pPr>
              <w:spacing w:after="0" w:line="240" w:lineRule="auto"/>
              <w:rPr>
                <w:rFonts w:ascii="Arial" w:hAnsi="Arial" w:cs="Arial"/>
                <w:color w:val="23496D"/>
                <w:sz w:val="23"/>
                <w:szCs w:val="23"/>
              </w:rPr>
            </w:pPr>
            <w:hyperlink r:id="rId21" w:tgtFrame="_blank" w:history="1">
              <w:r w:rsidR="00853C36">
                <w:rPr>
                  <w:rStyle w:val="Hyperlink"/>
                  <w:rFonts w:ascii="Arial" w:hAnsi="Arial" w:cs="Arial"/>
                  <w:i/>
                  <w:iCs/>
                  <w:color w:val="00A4BD"/>
                  <w:sz w:val="18"/>
                  <w:szCs w:val="18"/>
                </w:rPr>
                <w:t>Read More</w:t>
              </w:r>
            </w:hyperlink>
          </w:p>
        </w:tc>
      </w:tr>
      <w:tr w:rsidR="00853C36" w:rsidTr="00853C36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C36" w:rsidRDefault="00853C36">
            <w:pPr>
              <w:spacing w:after="0" w:line="240" w:lineRule="auto"/>
              <w:jc w:val="center"/>
              <w:rPr>
                <w:rFonts w:ascii="Arial" w:hAnsi="Arial" w:cs="Arial"/>
                <w:color w:val="23496D"/>
                <w:sz w:val="2"/>
                <w:szCs w:val="2"/>
              </w:rPr>
            </w:pPr>
            <w:r>
              <w:rPr>
                <w:rFonts w:ascii="Arial" w:hAnsi="Arial" w:cs="Arial"/>
                <w:noProof/>
                <w:color w:val="23496D"/>
                <w:sz w:val="2"/>
                <w:szCs w:val="2"/>
              </w:rPr>
              <w:drawing>
                <wp:inline distT="0" distB="0" distL="0" distR="0">
                  <wp:extent cx="952500" cy="1266825"/>
                  <wp:effectExtent l="0" t="0" r="0" b="9525"/>
                  <wp:docPr id="1" name="Picture 1" descr="IMG_1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1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36" w:rsidRDefault="00853C36">
            <w:pPr>
              <w:spacing w:after="0" w:line="526" w:lineRule="atLeast"/>
              <w:rPr>
                <w:rFonts w:ascii="Arial" w:hAnsi="Arial" w:cs="Arial"/>
                <w:color w:val="23496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496D"/>
                <w:sz w:val="24"/>
                <w:szCs w:val="24"/>
              </w:rPr>
              <w:t>Winning back the innocent smile</w:t>
            </w:r>
          </w:p>
          <w:p w:rsidR="00853C36" w:rsidRDefault="00853C36">
            <w:pPr>
              <w:spacing w:after="0" w:line="240" w:lineRule="auto"/>
              <w:rPr>
                <w:rFonts w:ascii="Arial" w:hAnsi="Arial" w:cs="Arial"/>
                <w:color w:val="23496D"/>
                <w:sz w:val="23"/>
                <w:szCs w:val="23"/>
              </w:rPr>
            </w:pPr>
          </w:p>
          <w:p w:rsidR="00853C36" w:rsidRDefault="00853C36">
            <w:pPr>
              <w:spacing w:after="0" w:line="240" w:lineRule="auto"/>
              <w:rPr>
                <w:rFonts w:ascii="Arial" w:hAnsi="Arial" w:cs="Arial"/>
                <w:color w:val="23496D"/>
                <w:sz w:val="23"/>
                <w:szCs w:val="23"/>
              </w:rPr>
            </w:pPr>
            <w:r>
              <w:rPr>
                <w:rFonts w:ascii="Arial" w:hAnsi="Arial" w:cs="Arial"/>
                <w:color w:val="23496D"/>
                <w:sz w:val="23"/>
                <w:szCs w:val="23"/>
              </w:rPr>
              <w:t> </w:t>
            </w:r>
            <w:r>
              <w:rPr>
                <w:rFonts w:ascii="Arial" w:hAnsi="Arial" w:cs="Arial"/>
                <w:color w:val="23496D"/>
                <w:sz w:val="18"/>
                <w:szCs w:val="18"/>
              </w:rPr>
              <w:t>A poem by all AEI staff</w:t>
            </w:r>
          </w:p>
          <w:p w:rsidR="00853C36" w:rsidRDefault="0025204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23496D"/>
                <w:sz w:val="18"/>
                <w:szCs w:val="18"/>
                <w:u w:val="single"/>
              </w:rPr>
            </w:pPr>
            <w:hyperlink r:id="rId24" w:tgtFrame="_blank" w:history="1">
              <w:r w:rsidR="00853C36">
                <w:rPr>
                  <w:rStyle w:val="Hyperlink"/>
                  <w:rFonts w:ascii="Arial" w:hAnsi="Arial" w:cs="Arial"/>
                  <w:i/>
                  <w:iCs/>
                  <w:color w:val="00A4BD"/>
                  <w:sz w:val="18"/>
                  <w:szCs w:val="18"/>
                </w:rPr>
                <w:t>Read More</w:t>
              </w:r>
            </w:hyperlink>
          </w:p>
        </w:tc>
      </w:tr>
      <w:tr w:rsidR="00853C36" w:rsidTr="00853C36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C36" w:rsidRDefault="00853C36">
            <w:pPr>
              <w:spacing w:after="0" w:line="526" w:lineRule="atLeast"/>
              <w:rPr>
                <w:rFonts w:ascii="Arial" w:hAnsi="Arial" w:cs="Arial"/>
                <w:color w:val="23496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496D"/>
                <w:sz w:val="24"/>
                <w:szCs w:val="24"/>
              </w:rPr>
              <w:t xml:space="preserve">In Bethlehem, a sense of </w:t>
            </w:r>
            <w:proofErr w:type="spellStart"/>
            <w:r>
              <w:rPr>
                <w:rFonts w:ascii="Arial" w:hAnsi="Arial" w:cs="Arial"/>
                <w:b/>
                <w:bCs/>
                <w:color w:val="23496D"/>
                <w:sz w:val="24"/>
                <w:szCs w:val="24"/>
              </w:rPr>
              <w:t>sumud</w:t>
            </w:r>
            <w:proofErr w:type="spellEnd"/>
            <w:r>
              <w:rPr>
                <w:rFonts w:ascii="Arial" w:hAnsi="Arial" w:cs="Arial"/>
                <w:b/>
                <w:bCs/>
                <w:color w:val="23496D"/>
                <w:sz w:val="24"/>
                <w:szCs w:val="24"/>
              </w:rPr>
              <w:t xml:space="preserve"> keeps peace workers pursuing their vision</w:t>
            </w:r>
          </w:p>
          <w:p w:rsidR="00853C36" w:rsidRDefault="00853C36">
            <w:pPr>
              <w:spacing w:after="0" w:line="240" w:lineRule="auto"/>
              <w:rPr>
                <w:rFonts w:ascii="Arial" w:hAnsi="Arial" w:cs="Arial"/>
                <w:color w:val="23496D"/>
                <w:sz w:val="23"/>
                <w:szCs w:val="23"/>
              </w:rPr>
            </w:pPr>
            <w:r>
              <w:rPr>
                <w:rFonts w:ascii="Arial" w:hAnsi="Arial" w:cs="Arial"/>
                <w:color w:val="23496D"/>
                <w:sz w:val="18"/>
                <w:szCs w:val="18"/>
              </w:rPr>
              <w:t xml:space="preserve">Interview Rania Murra and </w:t>
            </w:r>
            <w:proofErr w:type="spellStart"/>
            <w:r>
              <w:rPr>
                <w:rFonts w:ascii="Arial" w:hAnsi="Arial" w:cs="Arial"/>
                <w:color w:val="23496D"/>
                <w:sz w:val="18"/>
                <w:szCs w:val="18"/>
              </w:rPr>
              <w:t>Fuad</w:t>
            </w:r>
            <w:proofErr w:type="spellEnd"/>
            <w:r>
              <w:rPr>
                <w:rFonts w:ascii="Arial" w:hAnsi="Arial" w:cs="Arial"/>
                <w:color w:val="23496D"/>
                <w:sz w:val="18"/>
                <w:szCs w:val="18"/>
              </w:rPr>
              <w:t xml:space="preserve"> Giacaman on the World Council of Churches website, at the occasion of the World Week for Peace in Palestine Israel (WWPPI) 2021.</w:t>
            </w:r>
          </w:p>
          <w:p w:rsidR="00853C36" w:rsidRDefault="00252048">
            <w:pPr>
              <w:spacing w:after="0" w:line="240" w:lineRule="auto"/>
              <w:rPr>
                <w:rFonts w:ascii="Arial" w:hAnsi="Arial" w:cs="Arial"/>
                <w:color w:val="23496D"/>
                <w:sz w:val="23"/>
                <w:szCs w:val="23"/>
              </w:rPr>
            </w:pPr>
            <w:hyperlink r:id="rId25" w:tgtFrame="_blank" w:history="1">
              <w:r w:rsidR="00853C36">
                <w:rPr>
                  <w:rStyle w:val="Hyperlink"/>
                  <w:rFonts w:ascii="Arial" w:hAnsi="Arial" w:cs="Arial"/>
                  <w:color w:val="00A4BD"/>
                  <w:sz w:val="18"/>
                  <w:szCs w:val="18"/>
                </w:rPr>
                <w:t>Read more</w:t>
              </w:r>
            </w:hyperlink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36" w:rsidRDefault="00853C36">
            <w:pPr>
              <w:spacing w:after="0" w:line="526" w:lineRule="atLeast"/>
              <w:rPr>
                <w:rFonts w:ascii="Arial" w:hAnsi="Arial" w:cs="Arial"/>
                <w:color w:val="23496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496D"/>
                <w:sz w:val="24"/>
                <w:szCs w:val="24"/>
              </w:rPr>
              <w:t>Wall Information Project</w:t>
            </w:r>
          </w:p>
          <w:p w:rsidR="00853C36" w:rsidRDefault="00853C36">
            <w:pPr>
              <w:spacing w:after="0" w:line="240" w:lineRule="auto"/>
              <w:rPr>
                <w:rFonts w:ascii="Arial" w:hAnsi="Arial" w:cs="Arial"/>
                <w:color w:val="23496D"/>
                <w:sz w:val="18"/>
                <w:szCs w:val="18"/>
              </w:rPr>
            </w:pPr>
          </w:p>
          <w:p w:rsidR="00853C36" w:rsidRDefault="00853C36">
            <w:pPr>
              <w:spacing w:after="0" w:line="240" w:lineRule="auto"/>
              <w:rPr>
                <w:rFonts w:ascii="Arial" w:hAnsi="Arial" w:cs="Arial"/>
                <w:color w:val="23496D"/>
                <w:sz w:val="23"/>
                <w:szCs w:val="23"/>
              </w:rPr>
            </w:pPr>
            <w:r>
              <w:rPr>
                <w:rFonts w:ascii="Arial" w:hAnsi="Arial" w:cs="Arial"/>
                <w:color w:val="23496D"/>
                <w:sz w:val="18"/>
                <w:szCs w:val="18"/>
              </w:rPr>
              <w:t xml:space="preserve">Claudette Mubarak, AEI staff, tells about her work at the </w:t>
            </w:r>
            <w:proofErr w:type="spellStart"/>
            <w:r>
              <w:rPr>
                <w:rFonts w:ascii="Arial" w:hAnsi="Arial" w:cs="Arial"/>
                <w:color w:val="23496D"/>
                <w:sz w:val="18"/>
                <w:szCs w:val="18"/>
              </w:rPr>
              <w:t>Sumud</w:t>
            </w:r>
            <w:proofErr w:type="spellEnd"/>
            <w:r>
              <w:rPr>
                <w:rFonts w:ascii="Arial" w:hAnsi="Arial" w:cs="Arial"/>
                <w:color w:val="23496D"/>
                <w:sz w:val="18"/>
                <w:szCs w:val="18"/>
              </w:rPr>
              <w:t xml:space="preserve"> Story House and the Wall Museum. </w:t>
            </w:r>
            <w:hyperlink r:id="rId26" w:tgtFrame="_blank" w:history="1">
              <w:r>
                <w:rPr>
                  <w:rStyle w:val="Hyperlink"/>
                  <w:rFonts w:ascii="Arial" w:hAnsi="Arial" w:cs="Arial"/>
                  <w:color w:val="00A4BD"/>
                  <w:sz w:val="18"/>
                  <w:szCs w:val="18"/>
                </w:rPr>
                <w:t>Read more</w:t>
              </w:r>
            </w:hyperlink>
          </w:p>
          <w:p w:rsidR="00853C36" w:rsidRDefault="00853C36">
            <w:pPr>
              <w:spacing w:after="0" w:line="240" w:lineRule="auto"/>
              <w:rPr>
                <w:rFonts w:ascii="Arial" w:hAnsi="Arial" w:cs="Arial"/>
                <w:color w:val="23496D"/>
                <w:sz w:val="23"/>
                <w:szCs w:val="23"/>
              </w:rPr>
            </w:pPr>
            <w:r>
              <w:rPr>
                <w:rFonts w:ascii="Arial" w:hAnsi="Arial" w:cs="Arial"/>
                <w:color w:val="23496D"/>
                <w:sz w:val="18"/>
                <w:szCs w:val="18"/>
              </w:rPr>
              <w:t>Toine van Teeffelen recently wrote an article about the Rachel’s Tomb area for the </w:t>
            </w:r>
            <w:r>
              <w:rPr>
                <w:rFonts w:ascii="Arial" w:hAnsi="Arial" w:cs="Arial"/>
                <w:i/>
                <w:iCs/>
                <w:color w:val="23496D"/>
                <w:sz w:val="18"/>
                <w:szCs w:val="18"/>
              </w:rPr>
              <w:t>Jerusalem Quarterly</w:t>
            </w:r>
            <w:r>
              <w:rPr>
                <w:rFonts w:ascii="Arial" w:hAnsi="Arial" w:cs="Arial"/>
                <w:color w:val="23496D"/>
                <w:sz w:val="18"/>
                <w:szCs w:val="18"/>
              </w:rPr>
              <w:t xml:space="preserve"> - Rachel’s Tomb: Narrative </w:t>
            </w:r>
            <w:proofErr w:type="spellStart"/>
            <w:r>
              <w:rPr>
                <w:rFonts w:ascii="Arial" w:hAnsi="Arial" w:cs="Arial"/>
                <w:color w:val="23496D"/>
                <w:sz w:val="18"/>
                <w:szCs w:val="18"/>
              </w:rPr>
              <w:t>Counterspaces</w:t>
            </w:r>
            <w:proofErr w:type="spellEnd"/>
            <w:r>
              <w:rPr>
                <w:rFonts w:ascii="Arial" w:hAnsi="Arial" w:cs="Arial"/>
                <w:color w:val="23496D"/>
                <w:sz w:val="18"/>
                <w:szCs w:val="18"/>
              </w:rPr>
              <w:t xml:space="preserve"> in a Geography of Oppression. </w:t>
            </w:r>
            <w:hyperlink r:id="rId27" w:tgtFrame="_blank" w:history="1">
              <w:r>
                <w:rPr>
                  <w:rStyle w:val="Hyperlink"/>
                  <w:rFonts w:ascii="Arial" w:hAnsi="Arial" w:cs="Arial"/>
                  <w:color w:val="00A4BD"/>
                  <w:sz w:val="18"/>
                  <w:szCs w:val="18"/>
                </w:rPr>
                <w:t xml:space="preserve">Read </w:t>
              </w:r>
              <w:bookmarkStart w:id="0" w:name="_GoBack"/>
              <w:bookmarkEnd w:id="0"/>
              <w:r>
                <w:rPr>
                  <w:rStyle w:val="Hyperlink"/>
                  <w:rFonts w:ascii="Arial" w:hAnsi="Arial" w:cs="Arial"/>
                  <w:color w:val="00A4BD"/>
                  <w:sz w:val="18"/>
                  <w:szCs w:val="18"/>
                </w:rPr>
                <w:t>more</w:t>
              </w:r>
            </w:hyperlink>
          </w:p>
        </w:tc>
      </w:tr>
    </w:tbl>
    <w:p w:rsidR="00A70F95" w:rsidRDefault="00252048" w:rsidP="006504B4"/>
    <w:sectPr w:rsidR="00A70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36"/>
    <w:rsid w:val="00252048"/>
    <w:rsid w:val="00411E2A"/>
    <w:rsid w:val="006504B4"/>
    <w:rsid w:val="00853C36"/>
    <w:rsid w:val="00E9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36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C3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3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520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36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C3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3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520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0.jpg@01D7F592.65A0B420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aeicenter.org/citizenship-and-diversity-christian-moslem-living-together/" TargetMode="External"/><Relationship Id="rId26" Type="http://schemas.openxmlformats.org/officeDocument/2006/relationships/hyperlink" Target="https://aeicenter.org/out-of-the-cag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eicenter.org/youth-and-women-workshops-on-trauma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aeicenter.org/aeis-christmas-message/" TargetMode="External"/><Relationship Id="rId17" Type="http://schemas.openxmlformats.org/officeDocument/2006/relationships/image" Target="cid:image013.jpg@01D7F592.65A0B420" TargetMode="External"/><Relationship Id="rId25" Type="http://schemas.openxmlformats.org/officeDocument/2006/relationships/hyperlink" Target="https://aeicenter.org/sense-of-sumud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cid:image014.jpg@01D7F592.65A0B42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11.jpg@01D7F592.65A0B420" TargetMode="External"/><Relationship Id="rId24" Type="http://schemas.openxmlformats.org/officeDocument/2006/relationships/hyperlink" Target="https://aeicenter.org/winning-back-the-innocent-smile/" TargetMode="External"/><Relationship Id="rId5" Type="http://schemas.openxmlformats.org/officeDocument/2006/relationships/hyperlink" Target="https://aeicenter.org/" TargetMode="External"/><Relationship Id="rId15" Type="http://schemas.openxmlformats.org/officeDocument/2006/relationships/hyperlink" Target="https://aeicenter.org/stories-of-sumud-in-aeis-group-and-advocacy-work/" TargetMode="External"/><Relationship Id="rId23" Type="http://schemas.openxmlformats.org/officeDocument/2006/relationships/image" Target="cid:image015.jpg@01D7F592.65A0B420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aeicenter.org/christmas-and-palestinian-sumud/" TargetMode="External"/><Relationship Id="rId14" Type="http://schemas.openxmlformats.org/officeDocument/2006/relationships/image" Target="cid:image012.jpg@01D7F592.65A0B420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s://www.palestine-studies.org/en/node/1651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TechZone</dc:creator>
  <cp:lastModifiedBy>TechZone</cp:lastModifiedBy>
  <cp:revision>2</cp:revision>
  <dcterms:created xsi:type="dcterms:W3CDTF">2022-03-11T08:59:00Z</dcterms:created>
  <dcterms:modified xsi:type="dcterms:W3CDTF">2022-03-11T08:59:00Z</dcterms:modified>
</cp:coreProperties>
</file>